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E7F" w:rsidRDefault="00A92E7F" w:rsidP="00A92E7F">
      <w:pPr>
        <w:ind w:right="-1"/>
        <w:contextualSpacing/>
        <w:mirrorIndents/>
        <w:jc w:val="center"/>
        <w:rPr>
          <w:b/>
          <w:sz w:val="28"/>
          <w:szCs w:val="28"/>
        </w:rPr>
      </w:pPr>
    </w:p>
    <w:p w:rsidR="003B5C0D" w:rsidRPr="003B5C0D" w:rsidRDefault="00C52B47" w:rsidP="00A92E7F">
      <w:pPr>
        <w:ind w:right="-1"/>
        <w:contextualSpacing/>
        <w:mirrorIndents/>
        <w:jc w:val="center"/>
        <w:rPr>
          <w:b/>
          <w:sz w:val="28"/>
          <w:szCs w:val="28"/>
        </w:rPr>
      </w:pPr>
      <w:bookmarkStart w:id="0" w:name="_GoBack"/>
      <w:bookmarkEnd w:id="0"/>
      <w:r>
        <w:rPr>
          <w:b/>
          <w:sz w:val="28"/>
          <w:szCs w:val="28"/>
        </w:rPr>
        <w:t xml:space="preserve">TITLE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r w:rsidR="003B5C0D" w:rsidRPr="003B5C0D">
        <w:rPr>
          <w:b/>
          <w:sz w:val="28"/>
          <w:szCs w:val="28"/>
        </w:rPr>
        <w:t xml:space="preserve"> </w:t>
      </w:r>
      <w:proofErr w:type="spellStart"/>
      <w:r>
        <w:rPr>
          <w:b/>
          <w:sz w:val="28"/>
          <w:szCs w:val="28"/>
        </w:rPr>
        <w:t>TITLE</w:t>
      </w:r>
      <w:proofErr w:type="spellEnd"/>
      <w:r w:rsidRPr="00C52B47">
        <w:rPr>
          <w:b/>
          <w:sz w:val="28"/>
          <w:szCs w:val="28"/>
        </w:rPr>
        <w:t xml:space="preserve"> </w:t>
      </w:r>
      <w:proofErr w:type="spellStart"/>
      <w:r>
        <w:rPr>
          <w:b/>
          <w:sz w:val="28"/>
          <w:szCs w:val="28"/>
        </w:rPr>
        <w:t>TITLE</w:t>
      </w:r>
      <w:proofErr w:type="spellEnd"/>
    </w:p>
    <w:p w:rsidR="00C52B47" w:rsidRPr="00C52B47" w:rsidRDefault="00C52B47" w:rsidP="009D60CB">
      <w:pPr>
        <w:contextualSpacing/>
        <w:mirrorIndents/>
        <w:jc w:val="center"/>
        <w:rPr>
          <w:sz w:val="24"/>
          <w:lang w:val="fi-FI"/>
        </w:rPr>
      </w:pPr>
      <w:r w:rsidRPr="00C52B47">
        <w:rPr>
          <w:sz w:val="24"/>
          <w:vertAlign w:val="superscript"/>
          <w:lang w:val="fi-FI"/>
        </w:rPr>
        <w:t>1</w:t>
      </w:r>
      <w:r>
        <w:rPr>
          <w:sz w:val="24"/>
          <w:lang w:val="fi-FI"/>
        </w:rPr>
        <w:t xml:space="preserve">Ahmad Fauzi Mohd Ayub, </w:t>
      </w:r>
      <w:r w:rsidRPr="00C52B47">
        <w:rPr>
          <w:sz w:val="24"/>
          <w:vertAlign w:val="superscript"/>
          <w:lang w:val="fi-FI"/>
        </w:rPr>
        <w:t>2</w:t>
      </w:r>
      <w:r>
        <w:rPr>
          <w:sz w:val="24"/>
          <w:lang w:val="fi-FI"/>
        </w:rPr>
        <w:t>Robert Huth</w:t>
      </w:r>
    </w:p>
    <w:p w:rsidR="00E81027" w:rsidRPr="00C52B47" w:rsidRDefault="00C52B47" w:rsidP="00C52B47">
      <w:pPr>
        <w:mirrorIndents/>
        <w:jc w:val="center"/>
        <w:rPr>
          <w:sz w:val="24"/>
        </w:rPr>
      </w:pPr>
      <w:r w:rsidRPr="00C52B47">
        <w:rPr>
          <w:sz w:val="24"/>
          <w:vertAlign w:val="superscript"/>
          <w:lang w:val="fi-FI"/>
        </w:rPr>
        <w:t>1</w:t>
      </w:r>
      <w:r>
        <w:rPr>
          <w:sz w:val="24"/>
          <w:vertAlign w:val="superscript"/>
          <w:lang w:val="fi-FI"/>
        </w:rPr>
        <w:t>,2</w:t>
      </w:r>
      <w:r w:rsidR="00E81027" w:rsidRPr="00C52B47">
        <w:rPr>
          <w:sz w:val="24"/>
        </w:rPr>
        <w:t>Faculty of Education</w:t>
      </w:r>
      <w:r w:rsidR="00C55742" w:rsidRPr="00C52B47">
        <w:rPr>
          <w:sz w:val="24"/>
        </w:rPr>
        <w:t>al Studies</w:t>
      </w:r>
      <w:r w:rsidR="00E81027" w:rsidRPr="00C52B47">
        <w:rPr>
          <w:sz w:val="24"/>
        </w:rPr>
        <w:t xml:space="preserve">, </w:t>
      </w:r>
      <w:proofErr w:type="spellStart"/>
      <w:r w:rsidR="00E81027" w:rsidRPr="00C52B47">
        <w:rPr>
          <w:sz w:val="24"/>
        </w:rPr>
        <w:t>Universiti</w:t>
      </w:r>
      <w:proofErr w:type="spellEnd"/>
      <w:r w:rsidR="00E81027" w:rsidRPr="00C52B47">
        <w:rPr>
          <w:sz w:val="24"/>
        </w:rPr>
        <w:t xml:space="preserve"> Putra Malaysia</w:t>
      </w:r>
    </w:p>
    <w:p w:rsidR="00C52B47" w:rsidRPr="00C52B47" w:rsidRDefault="00893121" w:rsidP="00C52B47">
      <w:pPr>
        <w:mirrorIndents/>
        <w:jc w:val="center"/>
        <w:rPr>
          <w:sz w:val="24"/>
        </w:rPr>
      </w:pPr>
      <w:hyperlink r:id="rId7" w:history="1">
        <w:r w:rsidR="00C52B47" w:rsidRPr="008A5D42">
          <w:rPr>
            <w:rStyle w:val="Hyperlink"/>
            <w:sz w:val="24"/>
            <w:vertAlign w:val="superscript"/>
            <w:lang w:val="fi-FI"/>
          </w:rPr>
          <w:t>1</w:t>
        </w:r>
        <w:r w:rsidR="00C52B47" w:rsidRPr="008A5D42">
          <w:rPr>
            <w:rStyle w:val="Hyperlink"/>
            <w:sz w:val="24"/>
          </w:rPr>
          <w:t>afmy@upm.edu.my</w:t>
        </w:r>
      </w:hyperlink>
      <w:r w:rsidR="00C52B47">
        <w:rPr>
          <w:sz w:val="24"/>
        </w:rPr>
        <w:t xml:space="preserve">, </w:t>
      </w:r>
      <w:r w:rsidR="00C52B47" w:rsidRPr="00C52B47">
        <w:rPr>
          <w:sz w:val="24"/>
          <w:vertAlign w:val="superscript"/>
          <w:lang w:val="fi-FI"/>
        </w:rPr>
        <w:t>2</w:t>
      </w:r>
      <w:r w:rsidR="00C52B47">
        <w:rPr>
          <w:sz w:val="24"/>
        </w:rPr>
        <w:t>Huth@upm.edu.my</w:t>
      </w:r>
    </w:p>
    <w:p w:rsidR="00E81027" w:rsidRPr="00CC0562" w:rsidRDefault="00E81027" w:rsidP="009D60CB">
      <w:pPr>
        <w:contextualSpacing/>
        <w:mirrorIndents/>
        <w:jc w:val="center"/>
        <w:rPr>
          <w:i/>
          <w:sz w:val="22"/>
          <w:szCs w:val="22"/>
        </w:rPr>
      </w:pPr>
    </w:p>
    <w:p w:rsidR="00E81027" w:rsidRPr="00CC0562" w:rsidRDefault="00E81027" w:rsidP="009D60CB">
      <w:pPr>
        <w:keepNext/>
        <w:widowControl/>
        <w:contextualSpacing/>
        <w:mirrorIndents/>
        <w:jc w:val="left"/>
        <w:rPr>
          <w:b/>
          <w:sz w:val="22"/>
          <w:szCs w:val="22"/>
        </w:rPr>
      </w:pPr>
      <w:r w:rsidRPr="00CC0562">
        <w:rPr>
          <w:b/>
          <w:sz w:val="22"/>
          <w:szCs w:val="22"/>
        </w:rPr>
        <w:t>ABSTRACT</w:t>
      </w:r>
    </w:p>
    <w:p w:rsidR="00E81027" w:rsidRPr="003B5C0D" w:rsidRDefault="009E3ADC" w:rsidP="009D60CB">
      <w:pPr>
        <w:contextualSpacing/>
        <w:mirrorIndents/>
        <w:rPr>
          <w:sz w:val="22"/>
          <w:szCs w:val="22"/>
        </w:rPr>
      </w:pPr>
      <w:r w:rsidRPr="003B5C0D">
        <w:rPr>
          <w:sz w:val="22"/>
          <w:szCs w:val="22"/>
        </w:rPr>
        <w:t>M</w:t>
      </w:r>
      <w:r w:rsidR="00E81027" w:rsidRPr="003B5C0D">
        <w:rPr>
          <w:sz w:val="22"/>
          <w:szCs w:val="22"/>
        </w:rPr>
        <w:t xml:space="preserve">any </w:t>
      </w:r>
      <w:r w:rsidR="009D60CB" w:rsidRPr="003B5C0D">
        <w:rPr>
          <w:sz w:val="22"/>
          <w:szCs w:val="22"/>
        </w:rPr>
        <w:t>researchers</w:t>
      </w:r>
      <w:r w:rsidR="00E81027" w:rsidRPr="003B5C0D">
        <w:rPr>
          <w:sz w:val="22"/>
          <w:szCs w:val="22"/>
        </w:rPr>
        <w:t xml:space="preserve"> have shown that the </w:t>
      </w:r>
      <w:r w:rsidR="00E0434B" w:rsidRPr="003B5C0D">
        <w:rPr>
          <w:sz w:val="22"/>
          <w:szCs w:val="22"/>
        </w:rPr>
        <w:t>Internet</w:t>
      </w:r>
      <w:r w:rsidR="00E81027" w:rsidRPr="003B5C0D">
        <w:rPr>
          <w:sz w:val="22"/>
          <w:szCs w:val="22"/>
        </w:rPr>
        <w:t xml:space="preserve"> users are at risk of developing an obsessive dependency or “addiction” towards </w:t>
      </w:r>
      <w:r w:rsidR="00E0434B" w:rsidRPr="003B5C0D">
        <w:rPr>
          <w:sz w:val="22"/>
          <w:szCs w:val="22"/>
        </w:rPr>
        <w:t>Internet</w:t>
      </w:r>
      <w:r w:rsidR="00E81027" w:rsidRPr="003B5C0D">
        <w:rPr>
          <w:sz w:val="22"/>
          <w:szCs w:val="22"/>
        </w:rPr>
        <w:t xml:space="preserve">. </w:t>
      </w:r>
    </w:p>
    <w:p w:rsidR="00E81027" w:rsidRPr="00CC0562" w:rsidRDefault="00E81027" w:rsidP="009D60CB">
      <w:pPr>
        <w:keepNext/>
        <w:widowControl/>
        <w:contextualSpacing/>
        <w:mirrorIndents/>
        <w:rPr>
          <w:sz w:val="22"/>
          <w:szCs w:val="22"/>
        </w:rPr>
      </w:pPr>
      <w:r w:rsidRPr="00CC0562">
        <w:rPr>
          <w:b/>
          <w:sz w:val="22"/>
          <w:szCs w:val="22"/>
        </w:rPr>
        <w:t>Keywords</w:t>
      </w:r>
      <w:r w:rsidRPr="00CC0562">
        <w:rPr>
          <w:sz w:val="22"/>
          <w:szCs w:val="22"/>
        </w:rPr>
        <w:t xml:space="preserve">: </w:t>
      </w:r>
      <w:r w:rsidR="00E0434B" w:rsidRPr="00CC0562">
        <w:rPr>
          <w:sz w:val="22"/>
          <w:szCs w:val="22"/>
        </w:rPr>
        <w:t>Internet</w:t>
      </w:r>
      <w:r w:rsidRPr="00CC0562">
        <w:rPr>
          <w:sz w:val="22"/>
          <w:szCs w:val="22"/>
        </w:rPr>
        <w:t xml:space="preserve"> addiction, Secondary School students, time-used online, types of </w:t>
      </w:r>
      <w:r w:rsidR="00E0434B" w:rsidRPr="00CC0562">
        <w:rPr>
          <w:sz w:val="22"/>
          <w:szCs w:val="22"/>
        </w:rPr>
        <w:t>Internet</w:t>
      </w:r>
      <w:r w:rsidRPr="00CC0562">
        <w:rPr>
          <w:sz w:val="22"/>
          <w:szCs w:val="22"/>
        </w:rPr>
        <w:t xml:space="preserve"> use</w:t>
      </w:r>
    </w:p>
    <w:p w:rsidR="00E81027" w:rsidRPr="00CC0562" w:rsidRDefault="00E81027" w:rsidP="009D60CB">
      <w:pPr>
        <w:contextualSpacing/>
        <w:mirrorIndents/>
        <w:rPr>
          <w:sz w:val="22"/>
          <w:szCs w:val="22"/>
        </w:rPr>
      </w:pPr>
    </w:p>
    <w:p w:rsidR="00E81027" w:rsidRPr="00CC0562" w:rsidRDefault="00E81027" w:rsidP="009D60CB">
      <w:pPr>
        <w:contextualSpacing/>
        <w:mirrorIndents/>
        <w:rPr>
          <w:b/>
          <w:sz w:val="24"/>
        </w:rPr>
      </w:pPr>
      <w:r w:rsidRPr="00CC0562">
        <w:rPr>
          <w:b/>
          <w:sz w:val="24"/>
        </w:rPr>
        <w:t>Introduction</w:t>
      </w:r>
    </w:p>
    <w:p w:rsidR="00C52B47" w:rsidRDefault="00CC0562" w:rsidP="009D60CB">
      <w:pPr>
        <w:contextualSpacing/>
        <w:mirrorIndents/>
        <w:rPr>
          <w:sz w:val="22"/>
          <w:szCs w:val="22"/>
        </w:rPr>
      </w:pPr>
      <w:r>
        <w:rPr>
          <w:sz w:val="22"/>
          <w:szCs w:val="22"/>
        </w:rPr>
        <w:tab/>
      </w:r>
      <w:r w:rsidR="008259EF" w:rsidRPr="00CC0562">
        <w:rPr>
          <w:sz w:val="22"/>
          <w:szCs w:val="22"/>
        </w:rPr>
        <w:t xml:space="preserve">The </w:t>
      </w:r>
      <w:r w:rsidR="00E0434B" w:rsidRPr="00CC0562">
        <w:rPr>
          <w:sz w:val="22"/>
          <w:szCs w:val="22"/>
        </w:rPr>
        <w:t>Internet</w:t>
      </w:r>
      <w:r w:rsidR="008259EF" w:rsidRPr="00CC0562">
        <w:rPr>
          <w:sz w:val="22"/>
          <w:szCs w:val="22"/>
        </w:rPr>
        <w:t xml:space="preserve"> gains popularity rapidly with 28.7% penetration across the population as of 2010 (</w:t>
      </w:r>
      <w:r w:rsidR="00E0434B" w:rsidRPr="00CC0562">
        <w:rPr>
          <w:sz w:val="22"/>
          <w:szCs w:val="22"/>
        </w:rPr>
        <w:t>Internet</w:t>
      </w:r>
      <w:r w:rsidR="008259EF" w:rsidRPr="00CC0562">
        <w:rPr>
          <w:sz w:val="22"/>
          <w:szCs w:val="22"/>
        </w:rPr>
        <w:t xml:space="preserve"> World Stats, 2010b). In Malaysia</w:t>
      </w:r>
      <w:r w:rsidR="00E0434B" w:rsidRPr="00CC0562">
        <w:rPr>
          <w:sz w:val="22"/>
          <w:szCs w:val="22"/>
        </w:rPr>
        <w:t>, there were</w:t>
      </w:r>
      <w:r w:rsidR="008259EF" w:rsidRPr="00CC0562">
        <w:rPr>
          <w:sz w:val="22"/>
          <w:szCs w:val="22"/>
        </w:rPr>
        <w:t xml:space="preserve"> approximately eleven million </w:t>
      </w:r>
      <w:r w:rsidR="00E0434B" w:rsidRPr="00CC0562">
        <w:rPr>
          <w:sz w:val="22"/>
          <w:szCs w:val="22"/>
        </w:rPr>
        <w:t>Internet</w:t>
      </w:r>
      <w:r w:rsidR="008259EF" w:rsidRPr="00CC0562">
        <w:rPr>
          <w:sz w:val="22"/>
          <w:szCs w:val="22"/>
        </w:rPr>
        <w:t xml:space="preserve"> users back in 2006, taking third largest </w:t>
      </w:r>
      <w:r w:rsidR="00E0434B" w:rsidRPr="00CC0562">
        <w:rPr>
          <w:sz w:val="22"/>
          <w:szCs w:val="22"/>
        </w:rPr>
        <w:t>Internet</w:t>
      </w:r>
      <w:r w:rsidR="008259EF" w:rsidRPr="00CC0562">
        <w:rPr>
          <w:sz w:val="22"/>
          <w:szCs w:val="22"/>
        </w:rPr>
        <w:t xml:space="preserve"> users communities after Hong Kong and Singapore in ASEAN (International </w:t>
      </w:r>
      <w:r w:rsidR="00E0434B" w:rsidRPr="00CC0562">
        <w:rPr>
          <w:sz w:val="22"/>
          <w:szCs w:val="22"/>
        </w:rPr>
        <w:t>Telecommunication</w:t>
      </w:r>
      <w:r w:rsidR="008259EF" w:rsidRPr="00CC0562">
        <w:rPr>
          <w:sz w:val="22"/>
          <w:szCs w:val="22"/>
        </w:rPr>
        <w:t xml:space="preserve"> Union, 2006).</w:t>
      </w:r>
    </w:p>
    <w:p w:rsidR="0080650F" w:rsidRPr="00CC0562" w:rsidRDefault="00CC0562" w:rsidP="00C52B47">
      <w:pPr>
        <w:contextualSpacing/>
        <w:mirrorIndents/>
        <w:rPr>
          <w:b/>
          <w:sz w:val="24"/>
        </w:rPr>
      </w:pPr>
      <w:r>
        <w:rPr>
          <w:rFonts w:eastAsia="PMingLiU"/>
          <w:sz w:val="22"/>
          <w:szCs w:val="22"/>
          <w:lang w:eastAsia="zh-TW"/>
        </w:rPr>
        <w:tab/>
      </w:r>
      <w:r w:rsidR="00E0434B" w:rsidRPr="00CC0562">
        <w:rPr>
          <w:rFonts w:eastAsia="PMingLiU"/>
          <w:sz w:val="22"/>
          <w:szCs w:val="22"/>
          <w:lang w:eastAsia="zh-TW"/>
        </w:rPr>
        <w:t>Apart from gathering information in understanding better the “Internet scene” of Malaysia, t</w:t>
      </w:r>
      <w:r w:rsidR="00E0434B" w:rsidRPr="00CC0562">
        <w:rPr>
          <w:sz w:val="22"/>
          <w:szCs w:val="22"/>
        </w:rPr>
        <w:t>his study is hoped to serve as a preliminary study in a larger scale of Internet addiction nationally. For theoretical importance, this study helps to identify the prevalence of Internet addiction in secondary school students in Kuala Lumpur</w:t>
      </w:r>
      <w:r w:rsidR="00E0434B" w:rsidRPr="00CC0562">
        <w:rPr>
          <w:rFonts w:eastAsia="PMingLiU"/>
          <w:sz w:val="22"/>
          <w:szCs w:val="22"/>
          <w:lang w:eastAsia="zh-TW"/>
        </w:rPr>
        <w:t xml:space="preserve">. </w:t>
      </w:r>
    </w:p>
    <w:p w:rsidR="00C52B47" w:rsidRPr="00CC0562" w:rsidRDefault="00C52B47" w:rsidP="009D60CB">
      <w:pPr>
        <w:ind w:firstLine="420"/>
        <w:contextualSpacing/>
        <w:mirrorIndents/>
        <w:rPr>
          <w:rFonts w:eastAsia="PMingLiU"/>
          <w:sz w:val="22"/>
          <w:szCs w:val="22"/>
          <w:lang w:eastAsia="zh-TW"/>
        </w:rPr>
      </w:pPr>
    </w:p>
    <w:p w:rsidR="008259EF" w:rsidRPr="00CC0562" w:rsidRDefault="008259EF" w:rsidP="009D60CB">
      <w:pPr>
        <w:contextualSpacing/>
        <w:mirrorIndents/>
        <w:rPr>
          <w:b/>
          <w:sz w:val="24"/>
        </w:rPr>
      </w:pPr>
      <w:r w:rsidRPr="00CC0562">
        <w:rPr>
          <w:b/>
          <w:sz w:val="24"/>
        </w:rPr>
        <w:t>Methodology</w:t>
      </w:r>
    </w:p>
    <w:p w:rsidR="00243CE4" w:rsidRPr="00CC0562" w:rsidRDefault="00243CE4" w:rsidP="009D60CB">
      <w:pPr>
        <w:contextualSpacing/>
        <w:mirrorIndents/>
        <w:rPr>
          <w:rFonts w:eastAsia="PMingLiU"/>
          <w:sz w:val="22"/>
          <w:szCs w:val="22"/>
          <w:lang w:eastAsia="zh-TW"/>
        </w:rPr>
      </w:pPr>
      <w:r w:rsidRPr="00CC0562">
        <w:rPr>
          <w:sz w:val="22"/>
          <w:szCs w:val="22"/>
        </w:rPr>
        <w:t>This study is a qua</w:t>
      </w:r>
      <w:r w:rsidRPr="00CC0562">
        <w:rPr>
          <w:rFonts w:eastAsia="PMingLiU"/>
          <w:sz w:val="22"/>
          <w:szCs w:val="22"/>
          <w:lang w:eastAsia="zh-TW"/>
        </w:rPr>
        <w:t>nt</w:t>
      </w:r>
      <w:r w:rsidRPr="00CC0562">
        <w:rPr>
          <w:sz w:val="22"/>
          <w:szCs w:val="22"/>
        </w:rPr>
        <w:t xml:space="preserve">itative correlational research. Pen and pencil, self-assessed survey form and questionnaire are the main data collection method. </w:t>
      </w:r>
      <w:r w:rsidRPr="00CC0562">
        <w:rPr>
          <w:rFonts w:eastAsia="PMingLiU"/>
          <w:sz w:val="22"/>
          <w:szCs w:val="22"/>
          <w:lang w:eastAsia="zh-TW"/>
        </w:rPr>
        <w:t xml:space="preserve">Two-stage cluster sampling is utilized in this study. The standard sampling size needed for this research is 384. The first stage of clustering are selected using ordinary cluster sampling methods. </w:t>
      </w:r>
    </w:p>
    <w:p w:rsidR="006758A6" w:rsidRPr="00CC0562" w:rsidRDefault="006758A6" w:rsidP="009D60CB">
      <w:pPr>
        <w:contextualSpacing/>
        <w:mirrorIndents/>
        <w:rPr>
          <w:b/>
          <w:sz w:val="22"/>
          <w:szCs w:val="22"/>
        </w:rPr>
      </w:pPr>
    </w:p>
    <w:p w:rsidR="008259EF" w:rsidRPr="00F54A7B" w:rsidRDefault="00C52B47" w:rsidP="009D60CB">
      <w:pPr>
        <w:contextualSpacing/>
        <w:mirrorIndents/>
        <w:rPr>
          <w:b/>
          <w:sz w:val="24"/>
        </w:rPr>
      </w:pPr>
      <w:r>
        <w:rPr>
          <w:b/>
          <w:sz w:val="24"/>
        </w:rPr>
        <w:t xml:space="preserve">Research </w:t>
      </w:r>
      <w:r w:rsidR="008259EF" w:rsidRPr="00F54A7B">
        <w:rPr>
          <w:b/>
          <w:sz w:val="24"/>
        </w:rPr>
        <w:t xml:space="preserve">Finding </w:t>
      </w:r>
    </w:p>
    <w:p w:rsidR="00F54A7B" w:rsidRDefault="00FB271A" w:rsidP="009D60CB">
      <w:pPr>
        <w:contextualSpacing/>
        <w:mirrorIndents/>
        <w:rPr>
          <w:i/>
          <w:sz w:val="22"/>
          <w:szCs w:val="22"/>
        </w:rPr>
      </w:pPr>
      <w:r w:rsidRPr="00CC0562">
        <w:rPr>
          <w:i/>
          <w:sz w:val="22"/>
          <w:szCs w:val="22"/>
        </w:rPr>
        <w:t>Gender differences in Internet Addiction level among respondents</w:t>
      </w:r>
      <w:r w:rsidR="00B23EF9" w:rsidRPr="00CC0562">
        <w:rPr>
          <w:i/>
          <w:sz w:val="22"/>
          <w:szCs w:val="22"/>
        </w:rPr>
        <w:t>.</w:t>
      </w:r>
      <w:r w:rsidR="00B23EF9" w:rsidRPr="00CC0562">
        <w:rPr>
          <w:i/>
          <w:sz w:val="22"/>
          <w:szCs w:val="22"/>
        </w:rPr>
        <w:tab/>
      </w:r>
    </w:p>
    <w:p w:rsidR="00FB271A" w:rsidRPr="00CC0562" w:rsidRDefault="00F54A7B" w:rsidP="009D60CB">
      <w:pPr>
        <w:contextualSpacing/>
        <w:mirrorIndents/>
        <w:rPr>
          <w:sz w:val="22"/>
          <w:szCs w:val="22"/>
        </w:rPr>
      </w:pPr>
      <w:r>
        <w:rPr>
          <w:i/>
          <w:sz w:val="22"/>
          <w:szCs w:val="22"/>
        </w:rPr>
        <w:tab/>
      </w:r>
      <w:r w:rsidR="00B23EF9" w:rsidRPr="00CC0562">
        <w:rPr>
          <w:rFonts w:eastAsia="PMingLiU"/>
          <w:sz w:val="22"/>
          <w:szCs w:val="22"/>
          <w:lang w:eastAsia="zh-TW"/>
        </w:rPr>
        <w:t>Using Independent samples t-test, it is found that time average spent online per day and frequency of Internet use per week is not significantly differently between male and female. However, the total IAT scores between male and female are significantly different [</w:t>
      </w:r>
      <w:proofErr w:type="gramStart"/>
      <w:r w:rsidR="00B23EF9" w:rsidRPr="00CC0562">
        <w:rPr>
          <w:rFonts w:eastAsia="PMingLiU"/>
          <w:sz w:val="22"/>
          <w:szCs w:val="22"/>
          <w:lang w:eastAsia="zh-TW"/>
        </w:rPr>
        <w:t>t(</w:t>
      </w:r>
      <w:proofErr w:type="gramEnd"/>
      <w:r w:rsidR="00B23EF9" w:rsidRPr="00CC0562">
        <w:rPr>
          <w:rFonts w:eastAsia="PMingLiU"/>
          <w:sz w:val="22"/>
          <w:szCs w:val="22"/>
          <w:lang w:eastAsia="zh-TW"/>
        </w:rPr>
        <w:t>431)=.006,</w:t>
      </w:r>
      <w:r w:rsidR="00B23EF9" w:rsidRPr="00CC0562">
        <w:rPr>
          <w:rFonts w:eastAsia="PMingLiU"/>
          <w:i/>
          <w:sz w:val="22"/>
          <w:szCs w:val="22"/>
          <w:lang w:eastAsia="zh-TW"/>
        </w:rPr>
        <w:t>p&lt;0.05</w:t>
      </w:r>
      <w:r w:rsidR="00B23EF9" w:rsidRPr="00CC0562">
        <w:rPr>
          <w:rFonts w:eastAsia="PMingLiU"/>
          <w:sz w:val="22"/>
          <w:szCs w:val="22"/>
          <w:lang w:eastAsia="zh-TW"/>
        </w:rPr>
        <w:t xml:space="preserve">]. </w:t>
      </w:r>
    </w:p>
    <w:p w:rsidR="00C80656" w:rsidRDefault="00C80656" w:rsidP="009D60CB">
      <w:pPr>
        <w:contextualSpacing/>
        <w:mirrorIndents/>
        <w:rPr>
          <w:i/>
          <w:sz w:val="22"/>
          <w:szCs w:val="22"/>
        </w:rPr>
      </w:pPr>
    </w:p>
    <w:p w:rsidR="000A5395" w:rsidRPr="00BC1E04" w:rsidRDefault="000A5395" w:rsidP="000A5395">
      <w:pPr>
        <w:pStyle w:val="Caption"/>
        <w:spacing w:after="0"/>
        <w:rPr>
          <w:sz w:val="22"/>
          <w:szCs w:val="22"/>
          <w:lang w:val="en-GB"/>
        </w:rPr>
      </w:pPr>
      <w:bookmarkStart w:id="1" w:name="_Toc328247894"/>
      <w:r w:rsidRPr="00BC1E04">
        <w:rPr>
          <w:sz w:val="22"/>
          <w:szCs w:val="22"/>
        </w:rPr>
        <w:t xml:space="preserve">Table 3: </w:t>
      </w:r>
      <w:r w:rsidRPr="00BC1E04">
        <w:rPr>
          <w:color w:val="000000"/>
          <w:sz w:val="22"/>
          <w:szCs w:val="22"/>
          <w:lang w:eastAsia="en-MY"/>
        </w:rPr>
        <w:t>Cross Tabulation between Stress Level and Age</w:t>
      </w:r>
      <w:bookmarkEnd w:id="1"/>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3"/>
        <w:gridCol w:w="1687"/>
        <w:gridCol w:w="1687"/>
        <w:gridCol w:w="1687"/>
        <w:gridCol w:w="1688"/>
      </w:tblGrid>
      <w:tr w:rsidR="000A5395" w:rsidRPr="00BC1E04" w:rsidTr="000A5395">
        <w:trPr>
          <w:tblHeader/>
        </w:trPr>
        <w:tc>
          <w:tcPr>
            <w:tcW w:w="3610" w:type="dxa"/>
            <w:gridSpan w:val="2"/>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b/>
                <w:bCs/>
                <w:color w:val="000000"/>
                <w:sz w:val="22"/>
                <w:szCs w:val="22"/>
              </w:rPr>
              <w:t>Stress</w:t>
            </w:r>
          </w:p>
        </w:tc>
        <w:tc>
          <w:tcPr>
            <w:tcW w:w="5062" w:type="dxa"/>
            <w:gridSpan w:val="3"/>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Age</w:t>
            </w:r>
          </w:p>
        </w:tc>
      </w:tr>
      <w:tr w:rsidR="000A5395" w:rsidRPr="00BC1E04" w:rsidTr="000A5395">
        <w:trPr>
          <w:tblHeader/>
        </w:trPr>
        <w:tc>
          <w:tcPr>
            <w:tcW w:w="1923"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sz w:val="22"/>
                <w:szCs w:val="22"/>
                <w:lang w:val="en-GB"/>
              </w:rPr>
            </w:pPr>
            <w:r w:rsidRPr="000A5395">
              <w:rPr>
                <w:b/>
                <w:bCs/>
                <w:sz w:val="22"/>
                <w:szCs w:val="22"/>
                <w:lang w:val="en-GB"/>
              </w:rPr>
              <w:t>18-29</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sz w:val="22"/>
                <w:szCs w:val="22"/>
                <w:lang w:val="en-GB"/>
              </w:rPr>
            </w:pPr>
            <w:r w:rsidRPr="000A5395">
              <w:rPr>
                <w:b/>
                <w:bCs/>
                <w:sz w:val="22"/>
                <w:szCs w:val="22"/>
                <w:lang w:val="en-GB"/>
              </w:rPr>
              <w:t>Above 30</w:t>
            </w:r>
          </w:p>
        </w:tc>
        <w:tc>
          <w:tcPr>
            <w:tcW w:w="1688"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b/>
                <w:bCs/>
                <w:sz w:val="22"/>
                <w:szCs w:val="22"/>
                <w:lang w:val="en-GB"/>
              </w:rPr>
            </w:pPr>
            <w:r w:rsidRPr="000A5395">
              <w:rPr>
                <w:b/>
                <w:bCs/>
                <w:sz w:val="22"/>
                <w:szCs w:val="22"/>
                <w:lang w:val="en-GB"/>
              </w:rPr>
              <w:t>Total</w:t>
            </w:r>
          </w:p>
        </w:tc>
      </w:tr>
      <w:tr w:rsidR="000A5395" w:rsidRPr="00BC1E04" w:rsidTr="000A5395">
        <w:tc>
          <w:tcPr>
            <w:tcW w:w="1923" w:type="dxa"/>
            <w:vMerge w:val="restart"/>
            <w:tcBorders>
              <w:top w:val="single" w:sz="2"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Low Stress</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21</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23</w:t>
            </w:r>
          </w:p>
        </w:tc>
        <w:tc>
          <w:tcPr>
            <w:tcW w:w="1688"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44</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9.6</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10.5</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20.1</w:t>
            </w:r>
          </w:p>
        </w:tc>
      </w:tr>
      <w:tr w:rsidR="000A5395" w:rsidRPr="00BC1E04" w:rsidTr="000A5395">
        <w:tc>
          <w:tcPr>
            <w:tcW w:w="1923" w:type="dxa"/>
            <w:vMerge w:val="restart"/>
            <w:tcBorders>
              <w:top w:val="single" w:sz="4"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Medium-high Stress</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45</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41</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86</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20.5</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18.8</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39.3</w:t>
            </w:r>
          </w:p>
        </w:tc>
      </w:tr>
      <w:tr w:rsidR="000A5395" w:rsidRPr="00BC1E04" w:rsidTr="000A5395">
        <w:tc>
          <w:tcPr>
            <w:tcW w:w="1923" w:type="dxa"/>
            <w:vMerge w:val="restart"/>
            <w:tcBorders>
              <w:top w:val="single" w:sz="4"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High Stress</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23</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51</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74</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10.5</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23.3</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33.8</w:t>
            </w:r>
          </w:p>
        </w:tc>
      </w:tr>
      <w:tr w:rsidR="000A5395" w:rsidRPr="00BC1E04" w:rsidTr="000A5395">
        <w:tc>
          <w:tcPr>
            <w:tcW w:w="1923" w:type="dxa"/>
            <w:vMerge w:val="restart"/>
            <w:tcBorders>
              <w:top w:val="single" w:sz="4" w:space="0" w:color="auto"/>
              <w:left w:val="nil"/>
              <w:bottom w:val="dotDash" w:sz="8" w:space="0" w:color="auto"/>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Sig. High Stress</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7</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8</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15</w:t>
            </w:r>
          </w:p>
        </w:tc>
      </w:tr>
      <w:tr w:rsidR="000A5395" w:rsidRPr="00BC1E04" w:rsidTr="000A5395">
        <w:tc>
          <w:tcPr>
            <w:tcW w:w="1923" w:type="dxa"/>
            <w:vMerge/>
            <w:tcBorders>
              <w:left w:val="nil"/>
              <w:bottom w:val="single" w:sz="4" w:space="0" w:color="auto"/>
              <w:right w:val="nil"/>
            </w:tcBorders>
            <w:shd w:val="clear" w:color="auto" w:fill="auto"/>
            <w:vAlign w:val="center"/>
          </w:tcPr>
          <w:p w:rsidR="000A5395" w:rsidRPr="000A5395" w:rsidRDefault="000A5395" w:rsidP="00166CDE">
            <w:pPr>
              <w:rPr>
                <w:b/>
                <w:bCs/>
                <w:color w:val="000000"/>
                <w:sz w:val="22"/>
                <w:szCs w:val="22"/>
              </w:rPr>
            </w:pP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3.2</w:t>
            </w:r>
          </w:p>
        </w:tc>
        <w:tc>
          <w:tcPr>
            <w:tcW w:w="1687"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3.7</w:t>
            </w:r>
          </w:p>
        </w:tc>
        <w:tc>
          <w:tcPr>
            <w:tcW w:w="1688" w:type="dxa"/>
            <w:tcBorders>
              <w:top w:val="single" w:sz="2" w:space="0" w:color="auto"/>
              <w:left w:val="nil"/>
              <w:bottom w:val="single" w:sz="4"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6.8</w:t>
            </w:r>
          </w:p>
        </w:tc>
      </w:tr>
      <w:tr w:rsidR="000A5395" w:rsidRPr="00BC1E04" w:rsidTr="000A5395">
        <w:tc>
          <w:tcPr>
            <w:tcW w:w="1923" w:type="dxa"/>
            <w:vMerge w:val="restart"/>
            <w:tcBorders>
              <w:top w:val="single" w:sz="4" w:space="0" w:color="auto"/>
              <w:left w:val="nil"/>
              <w:bottom w:val="nil"/>
              <w:right w:val="nil"/>
            </w:tcBorders>
            <w:shd w:val="clear" w:color="auto" w:fill="auto"/>
            <w:vAlign w:val="center"/>
          </w:tcPr>
          <w:p w:rsidR="000A5395" w:rsidRPr="000A5395" w:rsidRDefault="000A5395" w:rsidP="00166CDE">
            <w:pPr>
              <w:rPr>
                <w:b/>
                <w:bCs/>
                <w:color w:val="000000"/>
                <w:sz w:val="22"/>
                <w:szCs w:val="22"/>
              </w:rPr>
            </w:pPr>
            <w:r w:rsidRPr="000A5395">
              <w:rPr>
                <w:b/>
                <w:bCs/>
                <w:color w:val="000000"/>
                <w:sz w:val="22"/>
                <w:szCs w:val="22"/>
              </w:rPr>
              <w:t>Total</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N</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96</w:t>
            </w:r>
          </w:p>
        </w:tc>
        <w:tc>
          <w:tcPr>
            <w:tcW w:w="1687"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123</w:t>
            </w:r>
          </w:p>
        </w:tc>
        <w:tc>
          <w:tcPr>
            <w:tcW w:w="1688" w:type="dxa"/>
            <w:tcBorders>
              <w:top w:val="single" w:sz="4"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219</w:t>
            </w:r>
          </w:p>
        </w:tc>
      </w:tr>
      <w:tr w:rsidR="000A5395" w:rsidRPr="00BC1E04" w:rsidTr="000A5395">
        <w:tc>
          <w:tcPr>
            <w:tcW w:w="1923" w:type="dxa"/>
            <w:vMerge/>
            <w:tcBorders>
              <w:top w:val="nil"/>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sz w:val="22"/>
                <w:szCs w:val="22"/>
                <w:lang w:val="en-GB"/>
              </w:rPr>
            </w:pPr>
            <w:r w:rsidRPr="000A5395">
              <w:rPr>
                <w:sz w:val="22"/>
                <w:szCs w:val="22"/>
                <w:lang w:val="en-GB"/>
              </w:rPr>
              <w:t>%</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43.8</w:t>
            </w:r>
          </w:p>
        </w:tc>
        <w:tc>
          <w:tcPr>
            <w:tcW w:w="1687"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56.2</w:t>
            </w:r>
          </w:p>
        </w:tc>
        <w:tc>
          <w:tcPr>
            <w:tcW w:w="1688" w:type="dxa"/>
            <w:tcBorders>
              <w:top w:val="single" w:sz="2" w:space="0" w:color="auto"/>
              <w:left w:val="nil"/>
              <w:bottom w:val="single" w:sz="2" w:space="0" w:color="auto"/>
              <w:right w:val="nil"/>
            </w:tcBorders>
            <w:shd w:val="clear" w:color="auto" w:fill="auto"/>
            <w:vAlign w:val="center"/>
          </w:tcPr>
          <w:p w:rsidR="000A5395" w:rsidRPr="000A5395" w:rsidRDefault="000A5395" w:rsidP="00166CDE">
            <w:pPr>
              <w:rPr>
                <w:color w:val="000000"/>
                <w:sz w:val="22"/>
                <w:szCs w:val="22"/>
              </w:rPr>
            </w:pPr>
            <w:r w:rsidRPr="000A5395">
              <w:rPr>
                <w:color w:val="000000"/>
                <w:sz w:val="22"/>
                <w:szCs w:val="22"/>
              </w:rPr>
              <w:t>100</w:t>
            </w:r>
          </w:p>
        </w:tc>
      </w:tr>
    </w:tbl>
    <w:p w:rsidR="000A5395" w:rsidRDefault="000A5395" w:rsidP="009D60CB">
      <w:pPr>
        <w:contextualSpacing/>
        <w:mirrorIndents/>
        <w:rPr>
          <w:i/>
          <w:sz w:val="22"/>
          <w:szCs w:val="22"/>
        </w:rPr>
      </w:pPr>
    </w:p>
    <w:p w:rsidR="000A5395" w:rsidRDefault="000A5395" w:rsidP="009D60CB">
      <w:pPr>
        <w:contextualSpacing/>
        <w:mirrorIndents/>
        <w:rPr>
          <w:i/>
          <w:sz w:val="22"/>
          <w:szCs w:val="22"/>
        </w:rPr>
      </w:pPr>
    </w:p>
    <w:p w:rsidR="000A5395" w:rsidRPr="00CC0562" w:rsidRDefault="000A5395" w:rsidP="009D60CB">
      <w:pPr>
        <w:contextualSpacing/>
        <w:mirrorIndents/>
        <w:rPr>
          <w:i/>
          <w:sz w:val="22"/>
          <w:szCs w:val="22"/>
        </w:rPr>
      </w:pPr>
    </w:p>
    <w:p w:rsidR="00F54A7B" w:rsidRDefault="00FB271A" w:rsidP="009D60CB">
      <w:pPr>
        <w:ind w:firstLine="90"/>
        <w:contextualSpacing/>
        <w:mirrorIndents/>
        <w:rPr>
          <w:i/>
          <w:sz w:val="22"/>
          <w:szCs w:val="22"/>
        </w:rPr>
      </w:pPr>
      <w:r w:rsidRPr="00CC0562">
        <w:rPr>
          <w:i/>
          <w:sz w:val="22"/>
          <w:szCs w:val="22"/>
        </w:rPr>
        <w:t>Relationship between time-used online and Internet Addiction Level</w:t>
      </w:r>
      <w:r w:rsidR="00B23EF9" w:rsidRPr="00CC0562">
        <w:rPr>
          <w:i/>
          <w:sz w:val="22"/>
          <w:szCs w:val="22"/>
        </w:rPr>
        <w:t>.</w:t>
      </w:r>
      <w:r w:rsidR="00B23EF9" w:rsidRPr="00CC0562">
        <w:rPr>
          <w:i/>
          <w:sz w:val="22"/>
          <w:szCs w:val="22"/>
        </w:rPr>
        <w:tab/>
      </w:r>
      <w:r w:rsidR="00B23EF9" w:rsidRPr="00CC0562">
        <w:rPr>
          <w:i/>
          <w:sz w:val="22"/>
          <w:szCs w:val="22"/>
        </w:rPr>
        <w:tab/>
      </w:r>
    </w:p>
    <w:p w:rsidR="00C52B47" w:rsidRDefault="00FB271A" w:rsidP="00C52B47">
      <w:pPr>
        <w:ind w:firstLine="420"/>
        <w:contextualSpacing/>
        <w:mirrorIndents/>
        <w:rPr>
          <w:rFonts w:eastAsia="PMingLiU"/>
          <w:sz w:val="22"/>
          <w:szCs w:val="22"/>
          <w:lang w:eastAsia="zh-TW"/>
        </w:rPr>
      </w:pPr>
      <w:r w:rsidRPr="00CC0562">
        <w:rPr>
          <w:rFonts w:eastAsia="PMingLiU"/>
          <w:sz w:val="22"/>
          <w:szCs w:val="22"/>
          <w:lang w:eastAsia="zh-TW"/>
        </w:rPr>
        <w:t>The time-used online (time spent online per day and frequency of Internet Use per week) and total IAT scores are correlated using Pearson Correlation Coefficient. The results show that time average spent online per day and frequency of Internet Use per week is positive and moderately correlated (</w:t>
      </w:r>
      <w:r w:rsidRPr="00CC0562">
        <w:rPr>
          <w:rFonts w:eastAsia="PMingLiU"/>
          <w:i/>
          <w:sz w:val="22"/>
          <w:szCs w:val="22"/>
          <w:lang w:eastAsia="zh-TW"/>
        </w:rPr>
        <w:t>r=</w:t>
      </w:r>
      <w:r w:rsidRPr="00CC0562">
        <w:rPr>
          <w:rFonts w:eastAsia="PMingLiU"/>
          <w:sz w:val="22"/>
          <w:szCs w:val="22"/>
          <w:lang w:eastAsia="zh-TW"/>
        </w:rPr>
        <w:t xml:space="preserve">.640, </w:t>
      </w:r>
      <w:r w:rsidRPr="00CC0562">
        <w:rPr>
          <w:rFonts w:eastAsia="PMingLiU"/>
          <w:i/>
          <w:sz w:val="22"/>
          <w:szCs w:val="22"/>
          <w:lang w:eastAsia="zh-TW"/>
        </w:rPr>
        <w:t>p</w:t>
      </w:r>
      <w:r w:rsidRPr="00CC0562">
        <w:rPr>
          <w:rFonts w:eastAsia="PMingLiU"/>
          <w:sz w:val="22"/>
          <w:szCs w:val="22"/>
          <w:lang w:eastAsia="zh-TW"/>
        </w:rPr>
        <w:t>&lt;.01</w:t>
      </w:r>
    </w:p>
    <w:p w:rsidR="00C52B47" w:rsidRDefault="00C52B47" w:rsidP="00C52B47">
      <w:pPr>
        <w:ind w:firstLine="420"/>
        <w:contextualSpacing/>
        <w:mirrorIndents/>
        <w:rPr>
          <w:rFonts w:eastAsia="PMingLiU"/>
          <w:sz w:val="22"/>
          <w:szCs w:val="22"/>
          <w:lang w:eastAsia="zh-TW"/>
        </w:rPr>
      </w:pPr>
    </w:p>
    <w:p w:rsidR="00302166" w:rsidRPr="00CC0562" w:rsidRDefault="00C80656" w:rsidP="00C52B47">
      <w:pPr>
        <w:ind w:firstLine="420"/>
        <w:contextualSpacing/>
        <w:mirrorIndents/>
        <w:rPr>
          <w:sz w:val="22"/>
          <w:szCs w:val="22"/>
        </w:rPr>
      </w:pPr>
      <w:r w:rsidRPr="00CC0562">
        <w:rPr>
          <w:sz w:val="22"/>
          <w:szCs w:val="22"/>
        </w:rPr>
        <w:t xml:space="preserve"> </w:t>
      </w:r>
    </w:p>
    <w:p w:rsidR="000A5395" w:rsidRPr="00B52D42" w:rsidRDefault="006539AA" w:rsidP="000A5395">
      <w:pPr>
        <w:tabs>
          <w:tab w:val="left" w:pos="3668"/>
        </w:tabs>
        <w:rPr>
          <w:lang w:val="en-GB"/>
        </w:rPr>
      </w:pPr>
      <w:r w:rsidRPr="00B52D42">
        <w:rPr>
          <w:noProof/>
          <w:lang w:val="en-MY" w:eastAsia="en-MY"/>
        </w:rPr>
        <w:drawing>
          <wp:inline distT="0" distB="0" distL="0" distR="0">
            <wp:extent cx="4450080" cy="34893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A5395" w:rsidRPr="00B52D42" w:rsidRDefault="000A5395" w:rsidP="000A5395">
      <w:pPr>
        <w:shd w:val="clear" w:color="auto" w:fill="FFFFFF"/>
        <w:jc w:val="center"/>
        <w:rPr>
          <w:b/>
          <w:lang w:val="en-GB"/>
        </w:rPr>
      </w:pPr>
      <w:r w:rsidRPr="00B52D42">
        <w:rPr>
          <w:b/>
          <w:lang w:val="en-GB"/>
        </w:rPr>
        <w:t>Figure</w:t>
      </w:r>
      <w:r w:rsidRPr="00B52D42">
        <w:rPr>
          <w:b/>
          <w:lang w:val="en-GB"/>
        </w:rPr>
        <w:tab/>
        <w:t>1:  Defining basic components of social support</w:t>
      </w:r>
    </w:p>
    <w:p w:rsidR="009E3ADC" w:rsidRPr="00CC0562" w:rsidRDefault="009E3ADC" w:rsidP="009D60CB">
      <w:pPr>
        <w:contextualSpacing/>
        <w:mirrorIndents/>
        <w:rPr>
          <w:i/>
          <w:sz w:val="22"/>
          <w:szCs w:val="22"/>
        </w:rPr>
      </w:pPr>
    </w:p>
    <w:p w:rsidR="008259EF" w:rsidRPr="00C52B47" w:rsidRDefault="008259EF" w:rsidP="009D60CB">
      <w:pPr>
        <w:contextualSpacing/>
        <w:mirrorIndents/>
        <w:rPr>
          <w:b/>
          <w:sz w:val="24"/>
        </w:rPr>
      </w:pPr>
      <w:r w:rsidRPr="00C52B47">
        <w:rPr>
          <w:b/>
          <w:sz w:val="24"/>
        </w:rPr>
        <w:t xml:space="preserve"> </w:t>
      </w:r>
      <w:r w:rsidR="00C52B47" w:rsidRPr="00C52B47">
        <w:rPr>
          <w:b/>
          <w:sz w:val="24"/>
        </w:rPr>
        <w:t>Discussion</w:t>
      </w:r>
    </w:p>
    <w:p w:rsidR="00302166" w:rsidRPr="00CC0562" w:rsidRDefault="00302166" w:rsidP="009D60CB">
      <w:pPr>
        <w:contextualSpacing/>
        <w:mirrorIndents/>
        <w:rPr>
          <w:rFonts w:eastAsia="PMingLiU"/>
          <w:sz w:val="22"/>
          <w:szCs w:val="22"/>
          <w:lang w:eastAsia="zh-TW"/>
        </w:rPr>
      </w:pPr>
    </w:p>
    <w:p w:rsidR="00B235A2" w:rsidRPr="00CC0562" w:rsidRDefault="00F54A7B" w:rsidP="00C52B47">
      <w:pPr>
        <w:contextualSpacing/>
        <w:mirrorIndents/>
        <w:rPr>
          <w:sz w:val="22"/>
          <w:szCs w:val="22"/>
        </w:rPr>
      </w:pPr>
      <w:r>
        <w:rPr>
          <w:rFonts w:eastAsia="PMingLiU"/>
          <w:sz w:val="22"/>
          <w:szCs w:val="22"/>
          <w:lang w:eastAsia="zh-TW"/>
        </w:rPr>
        <w:tab/>
      </w:r>
      <w:r w:rsidR="00302166" w:rsidRPr="00CC0562">
        <w:rPr>
          <w:rFonts w:eastAsia="PMingLiU"/>
          <w:sz w:val="22"/>
          <w:szCs w:val="22"/>
          <w:lang w:eastAsia="zh-TW"/>
        </w:rPr>
        <w:t xml:space="preserve">The findings of this study are able to present important information regarding factors of Internet Addiction among adolescents. It is essential to inform the education department to be aware of these growing phenomena in order to overcome the declining of academic performances and psychological well-being among adolescents.  </w:t>
      </w:r>
    </w:p>
    <w:p w:rsidR="00554C54" w:rsidRPr="00CC0562" w:rsidRDefault="00554C54" w:rsidP="009D60CB">
      <w:pPr>
        <w:contextualSpacing/>
        <w:mirrorIndents/>
        <w:rPr>
          <w:b/>
          <w:sz w:val="22"/>
          <w:szCs w:val="22"/>
        </w:rPr>
      </w:pPr>
    </w:p>
    <w:p w:rsidR="002136BF" w:rsidRPr="00CC0562" w:rsidRDefault="002136BF" w:rsidP="009D60CB">
      <w:pPr>
        <w:contextualSpacing/>
        <w:mirrorIndents/>
        <w:rPr>
          <w:b/>
          <w:sz w:val="22"/>
          <w:szCs w:val="22"/>
        </w:rPr>
      </w:pPr>
      <w:r w:rsidRPr="00CC0562">
        <w:rPr>
          <w:b/>
          <w:sz w:val="22"/>
          <w:szCs w:val="22"/>
        </w:rPr>
        <w:lastRenderedPageBreak/>
        <w:t>References</w:t>
      </w:r>
    </w:p>
    <w:p w:rsidR="002136BF" w:rsidRDefault="002136BF" w:rsidP="009D60CB">
      <w:pPr>
        <w:contextualSpacing/>
        <w:mirrorIndents/>
        <w:rPr>
          <w:sz w:val="22"/>
          <w:szCs w:val="22"/>
        </w:rPr>
      </w:pPr>
    </w:p>
    <w:p w:rsidR="00C52B47" w:rsidRDefault="00C52B47" w:rsidP="009D60CB">
      <w:pPr>
        <w:contextualSpacing/>
        <w:mirrorIndents/>
        <w:rPr>
          <w:sz w:val="22"/>
          <w:szCs w:val="22"/>
        </w:rPr>
      </w:pPr>
      <w:r>
        <w:rPr>
          <w:sz w:val="22"/>
          <w:szCs w:val="22"/>
        </w:rPr>
        <w:t>All references should follow APA Style</w:t>
      </w:r>
    </w:p>
    <w:p w:rsidR="00C52B47" w:rsidRDefault="00C52B47" w:rsidP="009D60CB">
      <w:pPr>
        <w:contextualSpacing/>
        <w:mirrorIndents/>
        <w:rPr>
          <w:sz w:val="22"/>
          <w:szCs w:val="22"/>
        </w:rPr>
      </w:pPr>
    </w:p>
    <w:p w:rsidR="00C52B47" w:rsidRPr="00CC0562" w:rsidRDefault="00C52B47" w:rsidP="009D60CB">
      <w:pPr>
        <w:contextualSpacing/>
        <w:mirrorIndents/>
        <w:rPr>
          <w:b/>
          <w:sz w:val="22"/>
          <w:szCs w:val="22"/>
        </w:rPr>
      </w:pPr>
    </w:p>
    <w:sectPr w:rsidR="00C52B47" w:rsidRPr="00CC0562" w:rsidSect="00907AFA">
      <w:headerReference w:type="even" r:id="rId13"/>
      <w:headerReference w:type="default" r:id="rId14"/>
      <w:pgSz w:w="11906" w:h="16838" w:code="9"/>
      <w:pgMar w:top="1440" w:right="1133" w:bottom="1440" w:left="1276" w:header="720" w:footer="720" w:gutter="0"/>
      <w:pgNumType w:start="39"/>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121" w:rsidRDefault="00893121">
      <w:r>
        <w:separator/>
      </w:r>
    </w:p>
  </w:endnote>
  <w:endnote w:type="continuationSeparator" w:id="0">
    <w:p w:rsidR="00893121" w:rsidRDefault="0089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121" w:rsidRDefault="00893121">
      <w:r>
        <w:separator/>
      </w:r>
    </w:p>
  </w:footnote>
  <w:footnote w:type="continuationSeparator" w:id="0">
    <w:p w:rsidR="00893121" w:rsidRDefault="00893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47" w:rsidRDefault="00C52B47" w:rsidP="005427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B47" w:rsidRDefault="00C52B47" w:rsidP="00B705D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7F" w:rsidRDefault="00C52B47" w:rsidP="00A92E7F">
    <w:pPr>
      <w:pStyle w:val="Header"/>
      <w:pBdr>
        <w:bottom w:val="single" w:sz="4" w:space="1" w:color="auto"/>
      </w:pBdr>
      <w:tabs>
        <w:tab w:val="clear" w:pos="8306"/>
      </w:tabs>
      <w:rPr>
        <w:b/>
        <w:kern w:val="0"/>
        <w:sz w:val="24"/>
        <w:szCs w:val="24"/>
        <w:lang w:eastAsia="en-US"/>
      </w:rPr>
    </w:pPr>
    <w:r w:rsidRPr="00AC30BE">
      <w:rPr>
        <w:b/>
        <w:kern w:val="0"/>
        <w:sz w:val="24"/>
        <w:szCs w:val="24"/>
        <w:lang w:eastAsia="en-US"/>
      </w:rPr>
      <w:t xml:space="preserve">The </w:t>
    </w:r>
    <w:r w:rsidR="00AC30BE" w:rsidRPr="00AC30BE">
      <w:rPr>
        <w:b/>
        <w:kern w:val="0"/>
        <w:sz w:val="24"/>
        <w:szCs w:val="24"/>
        <w:lang w:eastAsia="en-US"/>
      </w:rPr>
      <w:t>4</w:t>
    </w:r>
    <w:r w:rsidR="00AC30BE" w:rsidRPr="00AC30BE">
      <w:rPr>
        <w:b/>
        <w:kern w:val="0"/>
        <w:sz w:val="24"/>
        <w:szCs w:val="24"/>
        <w:vertAlign w:val="superscript"/>
        <w:lang w:eastAsia="en-US"/>
      </w:rPr>
      <w:t>th</w:t>
    </w:r>
    <w:r w:rsidRPr="00AC30BE">
      <w:rPr>
        <w:b/>
        <w:kern w:val="0"/>
        <w:sz w:val="24"/>
        <w:szCs w:val="24"/>
        <w:lang w:eastAsia="en-US"/>
      </w:rPr>
      <w:t xml:space="preserve"> International Conference on Educational Research </w:t>
    </w:r>
    <w:r w:rsidR="00AC30BE" w:rsidRPr="00AC30BE">
      <w:rPr>
        <w:b/>
        <w:kern w:val="0"/>
        <w:sz w:val="24"/>
        <w:szCs w:val="24"/>
        <w:lang w:eastAsia="en-US"/>
      </w:rPr>
      <w:t>a</w:t>
    </w:r>
    <w:r w:rsidRPr="00AC30BE">
      <w:rPr>
        <w:b/>
        <w:kern w:val="0"/>
        <w:sz w:val="24"/>
        <w:szCs w:val="24"/>
        <w:lang w:eastAsia="en-US"/>
      </w:rPr>
      <w:t>nd Practice 201</w:t>
    </w:r>
    <w:r w:rsidR="00AC30BE" w:rsidRPr="00AC30BE">
      <w:rPr>
        <w:b/>
        <w:kern w:val="0"/>
        <w:sz w:val="24"/>
        <w:szCs w:val="24"/>
        <w:lang w:eastAsia="en-US"/>
      </w:rPr>
      <w:t>7</w:t>
    </w:r>
  </w:p>
  <w:p w:rsidR="00AC30BE" w:rsidRDefault="00AC30BE" w:rsidP="00A92E7F">
    <w:pPr>
      <w:pStyle w:val="Header"/>
      <w:pBdr>
        <w:bottom w:val="single" w:sz="4" w:space="1" w:color="auto"/>
      </w:pBdr>
      <w:tabs>
        <w:tab w:val="clear" w:pos="8306"/>
      </w:tabs>
      <w:rPr>
        <w:b/>
        <w:kern w:val="0"/>
        <w:sz w:val="24"/>
        <w:szCs w:val="24"/>
        <w:lang w:eastAsia="en-US"/>
      </w:rPr>
    </w:pPr>
    <w:r>
      <w:rPr>
        <w:b/>
        <w:kern w:val="0"/>
        <w:sz w:val="24"/>
        <w:szCs w:val="24"/>
        <w:lang w:eastAsia="en-US"/>
      </w:rPr>
      <w:t>(ICERP 2017)</w:t>
    </w:r>
  </w:p>
  <w:p w:rsidR="00A92E7F" w:rsidRPr="00AC30BE" w:rsidRDefault="00A92E7F" w:rsidP="00A92E7F">
    <w:pPr>
      <w:pStyle w:val="Header"/>
      <w:pBdr>
        <w:bottom w:val="single" w:sz="4" w:space="1" w:color="auto"/>
      </w:pBdr>
      <w:tabs>
        <w:tab w:val="clear" w:pos="8306"/>
      </w:tabs>
      <w:rPr>
        <w:b/>
        <w:kern w:val="0"/>
        <w:sz w:val="24"/>
        <w:szCs w:val="24"/>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A685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73644D9"/>
    <w:multiLevelType w:val="hybridMultilevel"/>
    <w:tmpl w:val="E0DE45EC"/>
    <w:lvl w:ilvl="0" w:tplc="44090017">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5E715CDE"/>
    <w:multiLevelType w:val="hybridMultilevel"/>
    <w:tmpl w:val="B5540144"/>
    <w:lvl w:ilvl="0" w:tplc="4409000F">
      <w:start w:val="1"/>
      <w:numFmt w:val="decimal"/>
      <w:lvlText w:val="%1."/>
      <w:lvlJc w:val="left"/>
      <w:pPr>
        <w:tabs>
          <w:tab w:val="num" w:pos="720"/>
        </w:tabs>
        <w:ind w:left="720" w:hanging="360"/>
      </w:pPr>
      <w:rPr>
        <w:rFonts w:hint="default"/>
      </w:rPr>
    </w:lvl>
    <w:lvl w:ilvl="1" w:tplc="44090019" w:tentative="1">
      <w:start w:val="1"/>
      <w:numFmt w:val="lowerLetter"/>
      <w:lvlText w:val="%2."/>
      <w:lvlJc w:val="left"/>
      <w:pPr>
        <w:tabs>
          <w:tab w:val="num" w:pos="1440"/>
        </w:tabs>
        <w:ind w:left="1440" w:hanging="360"/>
      </w:pPr>
    </w:lvl>
    <w:lvl w:ilvl="2" w:tplc="4409001B" w:tentative="1">
      <w:start w:val="1"/>
      <w:numFmt w:val="lowerRoman"/>
      <w:lvlText w:val="%3."/>
      <w:lvlJc w:val="right"/>
      <w:pPr>
        <w:tabs>
          <w:tab w:val="num" w:pos="2160"/>
        </w:tabs>
        <w:ind w:left="2160" w:hanging="180"/>
      </w:pPr>
    </w:lvl>
    <w:lvl w:ilvl="3" w:tplc="4409000F" w:tentative="1">
      <w:start w:val="1"/>
      <w:numFmt w:val="decimal"/>
      <w:lvlText w:val="%4."/>
      <w:lvlJc w:val="left"/>
      <w:pPr>
        <w:tabs>
          <w:tab w:val="num" w:pos="2880"/>
        </w:tabs>
        <w:ind w:left="2880" w:hanging="360"/>
      </w:pPr>
    </w:lvl>
    <w:lvl w:ilvl="4" w:tplc="44090019" w:tentative="1">
      <w:start w:val="1"/>
      <w:numFmt w:val="lowerLetter"/>
      <w:lvlText w:val="%5."/>
      <w:lvlJc w:val="left"/>
      <w:pPr>
        <w:tabs>
          <w:tab w:val="num" w:pos="3600"/>
        </w:tabs>
        <w:ind w:left="3600" w:hanging="360"/>
      </w:pPr>
    </w:lvl>
    <w:lvl w:ilvl="5" w:tplc="4409001B" w:tentative="1">
      <w:start w:val="1"/>
      <w:numFmt w:val="lowerRoman"/>
      <w:lvlText w:val="%6."/>
      <w:lvlJc w:val="right"/>
      <w:pPr>
        <w:tabs>
          <w:tab w:val="num" w:pos="4320"/>
        </w:tabs>
        <w:ind w:left="4320" w:hanging="180"/>
      </w:pPr>
    </w:lvl>
    <w:lvl w:ilvl="6" w:tplc="4409000F" w:tentative="1">
      <w:start w:val="1"/>
      <w:numFmt w:val="decimal"/>
      <w:lvlText w:val="%7."/>
      <w:lvlJc w:val="left"/>
      <w:pPr>
        <w:tabs>
          <w:tab w:val="num" w:pos="5040"/>
        </w:tabs>
        <w:ind w:left="5040" w:hanging="360"/>
      </w:pPr>
    </w:lvl>
    <w:lvl w:ilvl="7" w:tplc="44090019" w:tentative="1">
      <w:start w:val="1"/>
      <w:numFmt w:val="lowerLetter"/>
      <w:lvlText w:val="%8."/>
      <w:lvlJc w:val="left"/>
      <w:pPr>
        <w:tabs>
          <w:tab w:val="num" w:pos="5760"/>
        </w:tabs>
        <w:ind w:left="5760" w:hanging="360"/>
      </w:pPr>
    </w:lvl>
    <w:lvl w:ilvl="8" w:tplc="4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18"/>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27"/>
    <w:rsid w:val="000A5395"/>
    <w:rsid w:val="00166CDE"/>
    <w:rsid w:val="002136BF"/>
    <w:rsid w:val="00243CE4"/>
    <w:rsid w:val="002A0885"/>
    <w:rsid w:val="00302166"/>
    <w:rsid w:val="00326DF3"/>
    <w:rsid w:val="003B5C0D"/>
    <w:rsid w:val="00443409"/>
    <w:rsid w:val="005427A5"/>
    <w:rsid w:val="00554C54"/>
    <w:rsid w:val="00555072"/>
    <w:rsid w:val="0056154D"/>
    <w:rsid w:val="006539AA"/>
    <w:rsid w:val="006758A6"/>
    <w:rsid w:val="00780FF2"/>
    <w:rsid w:val="007848F6"/>
    <w:rsid w:val="007C4EFB"/>
    <w:rsid w:val="0080650F"/>
    <w:rsid w:val="00814CC0"/>
    <w:rsid w:val="008259EF"/>
    <w:rsid w:val="00893121"/>
    <w:rsid w:val="008B2FAF"/>
    <w:rsid w:val="00907AFA"/>
    <w:rsid w:val="009129AA"/>
    <w:rsid w:val="00924E5C"/>
    <w:rsid w:val="009D60CB"/>
    <w:rsid w:val="009E3ADC"/>
    <w:rsid w:val="00A912C0"/>
    <w:rsid w:val="00A92E7F"/>
    <w:rsid w:val="00AC30BE"/>
    <w:rsid w:val="00B06F72"/>
    <w:rsid w:val="00B235A2"/>
    <w:rsid w:val="00B23EF9"/>
    <w:rsid w:val="00B60F72"/>
    <w:rsid w:val="00B705D2"/>
    <w:rsid w:val="00C52B47"/>
    <w:rsid w:val="00C55742"/>
    <w:rsid w:val="00C6062E"/>
    <w:rsid w:val="00C80656"/>
    <w:rsid w:val="00CC0562"/>
    <w:rsid w:val="00CC6721"/>
    <w:rsid w:val="00DB34F3"/>
    <w:rsid w:val="00E0434B"/>
    <w:rsid w:val="00E35EBC"/>
    <w:rsid w:val="00E81027"/>
    <w:rsid w:val="00F54A7B"/>
    <w:rsid w:val="00FB271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chartTrackingRefBased/>
  <w15:docId w15:val="{1048A9CA-99D4-4DDC-AFE2-33C02A3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1027"/>
    <w:rPr>
      <w:color w:val="0000FF"/>
      <w:u w:val="single"/>
    </w:rPr>
  </w:style>
  <w:style w:type="paragraph" w:styleId="Date">
    <w:name w:val="Date"/>
    <w:basedOn w:val="Normal"/>
    <w:next w:val="Normal"/>
    <w:rsid w:val="0080650F"/>
    <w:pPr>
      <w:ind w:leftChars="2500" w:left="100"/>
    </w:pPr>
  </w:style>
  <w:style w:type="character" w:customStyle="1" w:styleId="reference-text">
    <w:name w:val="reference-text"/>
    <w:rsid w:val="002136BF"/>
  </w:style>
  <w:style w:type="paragraph" w:styleId="Header">
    <w:name w:val="header"/>
    <w:basedOn w:val="Normal"/>
    <w:link w:val="HeaderChar"/>
    <w:uiPriority w:val="99"/>
    <w:rsid w:val="009E3ADC"/>
    <w:pPr>
      <w:pBdr>
        <w:bottom w:val="single" w:sz="6" w:space="1" w:color="auto"/>
      </w:pBdr>
      <w:tabs>
        <w:tab w:val="center" w:pos="4153"/>
        <w:tab w:val="right" w:pos="8306"/>
      </w:tabs>
      <w:snapToGrid w:val="0"/>
      <w:jc w:val="center"/>
    </w:pPr>
    <w:rPr>
      <w:sz w:val="18"/>
      <w:szCs w:val="18"/>
    </w:rPr>
  </w:style>
  <w:style w:type="character" w:styleId="PageNumber">
    <w:name w:val="page number"/>
    <w:basedOn w:val="DefaultParagraphFont"/>
    <w:rsid w:val="009E3ADC"/>
  </w:style>
  <w:style w:type="paragraph" w:styleId="Footer">
    <w:name w:val="footer"/>
    <w:basedOn w:val="Normal"/>
    <w:link w:val="FooterChar"/>
    <w:rsid w:val="00CC0562"/>
    <w:pPr>
      <w:tabs>
        <w:tab w:val="center" w:pos="4513"/>
        <w:tab w:val="right" w:pos="9026"/>
      </w:tabs>
    </w:pPr>
  </w:style>
  <w:style w:type="character" w:customStyle="1" w:styleId="FooterChar">
    <w:name w:val="Footer Char"/>
    <w:link w:val="Footer"/>
    <w:rsid w:val="00CC0562"/>
    <w:rPr>
      <w:kern w:val="2"/>
      <w:sz w:val="21"/>
      <w:szCs w:val="24"/>
      <w:lang w:val="en-US" w:eastAsia="zh-CN"/>
    </w:rPr>
  </w:style>
  <w:style w:type="character" w:customStyle="1" w:styleId="HeaderChar">
    <w:name w:val="Header Char"/>
    <w:link w:val="Header"/>
    <w:uiPriority w:val="99"/>
    <w:rsid w:val="00CC0562"/>
    <w:rPr>
      <w:kern w:val="2"/>
      <w:sz w:val="18"/>
      <w:szCs w:val="18"/>
      <w:lang w:val="en-US" w:eastAsia="zh-CN"/>
    </w:rPr>
  </w:style>
  <w:style w:type="paragraph" w:styleId="BalloonText">
    <w:name w:val="Balloon Text"/>
    <w:basedOn w:val="Normal"/>
    <w:link w:val="BalloonTextChar"/>
    <w:rsid w:val="00CC0562"/>
    <w:rPr>
      <w:rFonts w:ascii="Tahoma" w:hAnsi="Tahoma" w:cs="Tahoma"/>
      <w:sz w:val="16"/>
      <w:szCs w:val="16"/>
    </w:rPr>
  </w:style>
  <w:style w:type="character" w:customStyle="1" w:styleId="BalloonTextChar">
    <w:name w:val="Balloon Text Char"/>
    <w:link w:val="BalloonText"/>
    <w:rsid w:val="00CC0562"/>
    <w:rPr>
      <w:rFonts w:ascii="Tahoma" w:hAnsi="Tahoma" w:cs="Tahoma"/>
      <w:kern w:val="2"/>
      <w:sz w:val="16"/>
      <w:szCs w:val="16"/>
      <w:lang w:val="en-US" w:eastAsia="zh-CN"/>
    </w:rPr>
  </w:style>
  <w:style w:type="paragraph" w:customStyle="1" w:styleId="MediumGrid21">
    <w:name w:val="Medium Grid 21"/>
    <w:uiPriority w:val="1"/>
    <w:qFormat/>
    <w:rsid w:val="003B5C0D"/>
    <w:pPr>
      <w:widowControl w:val="0"/>
      <w:jc w:val="both"/>
    </w:pPr>
    <w:rPr>
      <w:kern w:val="2"/>
      <w:sz w:val="21"/>
      <w:szCs w:val="24"/>
      <w:lang w:val="en-US" w:eastAsia="zh-CN"/>
    </w:rPr>
  </w:style>
  <w:style w:type="table" w:styleId="TableGrid">
    <w:name w:val="Table Grid"/>
    <w:basedOn w:val="TableNormal"/>
    <w:uiPriority w:val="59"/>
    <w:rsid w:val="000A5395"/>
    <w:pPr>
      <w:bidi/>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A5395"/>
    <w:pPr>
      <w:widowControl/>
      <w:spacing w:after="240"/>
      <w:jc w:val="center"/>
    </w:pPr>
    <w:rPr>
      <w:rFonts w:eastAsia="Times New Roman"/>
      <w:b/>
      <w:bCs/>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afmy@upm.edu.my"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5783BA-A753-4BCE-A721-97A4B305C3F1}" type="doc">
      <dgm:prSet loTypeId="urn:microsoft.com/office/officeart/2005/8/layout/cycle1" loCatId="cycle" qsTypeId="urn:microsoft.com/office/officeart/2005/8/quickstyle/simple1" qsCatId="simple" csTypeId="urn:microsoft.com/office/officeart/2005/8/colors/accent1_2" csCatId="accent1"/>
      <dgm:spPr/>
    </dgm:pt>
    <dgm:pt modelId="{DA2BB247-C835-4ABE-AE93-EBF7CBE9EF08}">
      <dgm:prSet/>
      <dgm:spPr/>
      <dgm:t>
        <a:bodyPr/>
        <a:lstStyle/>
        <a:p>
          <a:pPr marR="0" algn="ctr" rtl="0"/>
          <a:r>
            <a:rPr lang="en-MY" b="1" i="0" u="none" strike="noStrike" baseline="0" smtClean="0">
              <a:latin typeface="Calibri" panose="020F0502020204030204" pitchFamily="34" charset="0"/>
            </a:rPr>
            <a:t>Instrumental support</a:t>
          </a:r>
        </a:p>
        <a:p>
          <a:pPr marR="0" algn="l" rtl="0"/>
          <a:r>
            <a:rPr lang="en-MY" b="0" i="0" u="none" strike="noStrike" baseline="0" smtClean="0">
              <a:latin typeface="Calibri" panose="020F0502020204030204" pitchFamily="34" charset="0"/>
            </a:rPr>
            <a:t>Provision of material aid, money, goods, services (House 1981, Dunkel-Schetter 1984)</a:t>
          </a:r>
          <a:endParaRPr lang="en-MY" smtClean="0"/>
        </a:p>
      </dgm:t>
    </dgm:pt>
    <dgm:pt modelId="{3EEE715E-CD84-46E9-8EB8-5819AB3F798A}" type="parTrans" cxnId="{0C32451B-F7D1-4241-A551-B5C426F6C32F}">
      <dgm:prSet/>
      <dgm:spPr/>
    </dgm:pt>
    <dgm:pt modelId="{6310CB5C-9D2F-493A-B551-40EE48F47A2B}" type="sibTrans" cxnId="{0C32451B-F7D1-4241-A551-B5C426F6C32F}">
      <dgm:prSet/>
      <dgm:spPr/>
    </dgm:pt>
    <dgm:pt modelId="{5B800750-18C8-46DA-8A82-BCF441A8DAF0}">
      <dgm:prSet/>
      <dgm:spPr/>
      <dgm:t>
        <a:bodyPr/>
        <a:lstStyle/>
        <a:p>
          <a:pPr marR="0" algn="ctr" rtl="0"/>
          <a:r>
            <a:rPr lang="en-MY" b="1" i="0" u="none" strike="noStrike" baseline="0" smtClean="0">
              <a:latin typeface="Calibri" panose="020F0502020204030204" pitchFamily="34" charset="0"/>
            </a:rPr>
            <a:t>Emotional support</a:t>
          </a:r>
        </a:p>
        <a:p>
          <a:pPr marR="0" algn="l" rtl="0"/>
          <a:r>
            <a:rPr lang="en-MY" b="0" i="0" u="none" strike="noStrike" baseline="0" smtClean="0">
              <a:latin typeface="Calibri" panose="020F0502020204030204" pitchFamily="34" charset="0"/>
            </a:rPr>
            <a:t>The expression of positive effect, including information that one is cared for, loved or esteemed (Cobb 1976, Gottlieb 1981). Expressing agreement with a acknowledging a person’s feelings (House 1981), and encouraging the open expression of beliefs and feelings (Cobb 1976, House 1981)</a:t>
          </a:r>
        </a:p>
      </dgm:t>
    </dgm:pt>
    <dgm:pt modelId="{D9753E49-E33F-4E78-9D4D-E9B580032058}" type="parTrans" cxnId="{637ED795-CAAC-4691-92C8-D1C4AFB5151A}">
      <dgm:prSet/>
      <dgm:spPr/>
    </dgm:pt>
    <dgm:pt modelId="{EE1008D4-D873-4279-AEF9-372B74BE3591}" type="sibTrans" cxnId="{637ED795-CAAC-4691-92C8-D1C4AFB5151A}">
      <dgm:prSet/>
      <dgm:spPr/>
    </dgm:pt>
    <dgm:pt modelId="{2E876253-B162-4BFA-AA1D-5BE9E82F9797}">
      <dgm:prSet/>
      <dgm:spPr/>
      <dgm:t>
        <a:bodyPr/>
        <a:lstStyle/>
        <a:p>
          <a:pPr marR="0" algn="l" rtl="0"/>
          <a:r>
            <a:rPr lang="en-MY" b="1" i="0" u="none" strike="noStrike" baseline="0" smtClean="0">
              <a:latin typeface="Calibri" panose="020F0502020204030204" pitchFamily="34" charset="0"/>
            </a:rPr>
            <a:t>Informational support</a:t>
          </a:r>
        </a:p>
        <a:p>
          <a:pPr marR="0" algn="l" rtl="0"/>
          <a:r>
            <a:rPr lang="en-MY" b="0" i="0" u="none" strike="noStrike" baseline="0" smtClean="0">
              <a:latin typeface="Calibri" panose="020F0502020204030204" pitchFamily="34" charset="0"/>
            </a:rPr>
            <a:t>Providing information, giving advice/guidance and problem solving skills (House 1981, Dunkel-Schetter 1984)</a:t>
          </a:r>
          <a:endParaRPr lang="en-MY" smtClean="0"/>
        </a:p>
      </dgm:t>
    </dgm:pt>
    <dgm:pt modelId="{37708932-78D6-40F5-8676-68F95A36FEFA}" type="parTrans" cxnId="{D5B7E7BD-0578-4C08-A199-3BCB7DE37E7B}">
      <dgm:prSet/>
      <dgm:spPr/>
    </dgm:pt>
    <dgm:pt modelId="{709052FE-8938-43E6-B93E-B511A7D51EC3}" type="sibTrans" cxnId="{D5B7E7BD-0578-4C08-A199-3BCB7DE37E7B}">
      <dgm:prSet/>
      <dgm:spPr/>
    </dgm:pt>
    <dgm:pt modelId="{E6FA065C-52AD-427E-A8E3-B785B680A0AA}" type="pres">
      <dgm:prSet presAssocID="{B65783BA-A753-4BCE-A721-97A4B305C3F1}" presName="cycle" presStyleCnt="0">
        <dgm:presLayoutVars>
          <dgm:dir/>
          <dgm:resizeHandles val="exact"/>
        </dgm:presLayoutVars>
      </dgm:prSet>
      <dgm:spPr/>
    </dgm:pt>
    <dgm:pt modelId="{7D814974-5AAE-411E-9BE0-59AF2060B53B}" type="pres">
      <dgm:prSet presAssocID="{DA2BB247-C835-4ABE-AE93-EBF7CBE9EF08}" presName="dummy" presStyleCnt="0"/>
      <dgm:spPr/>
    </dgm:pt>
    <dgm:pt modelId="{7236DF4D-516E-4C0A-8ACF-AA9B6D371491}" type="pres">
      <dgm:prSet presAssocID="{DA2BB247-C835-4ABE-AE93-EBF7CBE9EF08}" presName="node" presStyleLbl="revTx" presStyleIdx="0" presStyleCnt="3">
        <dgm:presLayoutVars>
          <dgm:bulletEnabled val="1"/>
        </dgm:presLayoutVars>
      </dgm:prSet>
      <dgm:spPr/>
      <dgm:t>
        <a:bodyPr/>
        <a:lstStyle/>
        <a:p>
          <a:endParaRPr lang="en-MY"/>
        </a:p>
      </dgm:t>
    </dgm:pt>
    <dgm:pt modelId="{8E66FDB7-6D7E-4ADB-AFEB-34DF6215D482}" type="pres">
      <dgm:prSet presAssocID="{6310CB5C-9D2F-493A-B551-40EE48F47A2B}" presName="sibTrans" presStyleLbl="node1" presStyleIdx="0" presStyleCnt="3"/>
      <dgm:spPr/>
    </dgm:pt>
    <dgm:pt modelId="{A81D6252-5DF2-4FCD-88CE-2700F761BD54}" type="pres">
      <dgm:prSet presAssocID="{5B800750-18C8-46DA-8A82-BCF441A8DAF0}" presName="dummy" presStyleCnt="0"/>
      <dgm:spPr/>
    </dgm:pt>
    <dgm:pt modelId="{495AA78B-71FD-43E9-8E8B-8F1044D46A0C}" type="pres">
      <dgm:prSet presAssocID="{5B800750-18C8-46DA-8A82-BCF441A8DAF0}" presName="node" presStyleLbl="revTx" presStyleIdx="1" presStyleCnt="3">
        <dgm:presLayoutVars>
          <dgm:bulletEnabled val="1"/>
        </dgm:presLayoutVars>
      </dgm:prSet>
      <dgm:spPr/>
      <dgm:t>
        <a:bodyPr/>
        <a:lstStyle/>
        <a:p>
          <a:endParaRPr lang="en-MY"/>
        </a:p>
      </dgm:t>
    </dgm:pt>
    <dgm:pt modelId="{86ED58ED-D723-4ACC-B3D5-4145B40304DE}" type="pres">
      <dgm:prSet presAssocID="{EE1008D4-D873-4279-AEF9-372B74BE3591}" presName="sibTrans" presStyleLbl="node1" presStyleIdx="1" presStyleCnt="3"/>
      <dgm:spPr/>
    </dgm:pt>
    <dgm:pt modelId="{A6ED2E2A-359F-4D80-B909-54D9DCF6C058}" type="pres">
      <dgm:prSet presAssocID="{2E876253-B162-4BFA-AA1D-5BE9E82F9797}" presName="dummy" presStyleCnt="0"/>
      <dgm:spPr/>
    </dgm:pt>
    <dgm:pt modelId="{1E363041-AB0F-4A26-BA3B-8F2B1B3BAF8B}" type="pres">
      <dgm:prSet presAssocID="{2E876253-B162-4BFA-AA1D-5BE9E82F9797}" presName="node" presStyleLbl="revTx" presStyleIdx="2" presStyleCnt="3">
        <dgm:presLayoutVars>
          <dgm:bulletEnabled val="1"/>
        </dgm:presLayoutVars>
      </dgm:prSet>
      <dgm:spPr/>
      <dgm:t>
        <a:bodyPr/>
        <a:lstStyle/>
        <a:p>
          <a:endParaRPr lang="en-MY"/>
        </a:p>
      </dgm:t>
    </dgm:pt>
    <dgm:pt modelId="{B14889B2-3087-49FE-884C-EDCD86E924D6}" type="pres">
      <dgm:prSet presAssocID="{709052FE-8938-43E6-B93E-B511A7D51EC3}" presName="sibTrans" presStyleLbl="node1" presStyleIdx="2" presStyleCnt="3"/>
      <dgm:spPr/>
    </dgm:pt>
  </dgm:ptLst>
  <dgm:cxnLst>
    <dgm:cxn modelId="{D5B7E7BD-0578-4C08-A199-3BCB7DE37E7B}" srcId="{B65783BA-A753-4BCE-A721-97A4B305C3F1}" destId="{2E876253-B162-4BFA-AA1D-5BE9E82F9797}" srcOrd="2" destOrd="0" parTransId="{37708932-78D6-40F5-8676-68F95A36FEFA}" sibTransId="{709052FE-8938-43E6-B93E-B511A7D51EC3}"/>
    <dgm:cxn modelId="{EEA391D6-60D7-4096-BA07-07D7982F5072}" type="presOf" srcId="{5B800750-18C8-46DA-8A82-BCF441A8DAF0}" destId="{495AA78B-71FD-43E9-8E8B-8F1044D46A0C}" srcOrd="0" destOrd="0" presId="urn:microsoft.com/office/officeart/2005/8/layout/cycle1"/>
    <dgm:cxn modelId="{D996C951-8984-46AF-B32B-25545E492AB0}" type="presOf" srcId="{2E876253-B162-4BFA-AA1D-5BE9E82F9797}" destId="{1E363041-AB0F-4A26-BA3B-8F2B1B3BAF8B}" srcOrd="0" destOrd="0" presId="urn:microsoft.com/office/officeart/2005/8/layout/cycle1"/>
    <dgm:cxn modelId="{404A1FA2-F75D-4C71-A4C8-3B35F9146438}" type="presOf" srcId="{B65783BA-A753-4BCE-A721-97A4B305C3F1}" destId="{E6FA065C-52AD-427E-A8E3-B785B680A0AA}" srcOrd="0" destOrd="0" presId="urn:microsoft.com/office/officeart/2005/8/layout/cycle1"/>
    <dgm:cxn modelId="{B49A9391-DA94-4CA9-9A0D-D844A9EEB415}" type="presOf" srcId="{709052FE-8938-43E6-B93E-B511A7D51EC3}" destId="{B14889B2-3087-49FE-884C-EDCD86E924D6}" srcOrd="0" destOrd="0" presId="urn:microsoft.com/office/officeart/2005/8/layout/cycle1"/>
    <dgm:cxn modelId="{FE4E4F8B-1D25-4B04-A248-F3EDC754F317}" type="presOf" srcId="{6310CB5C-9D2F-493A-B551-40EE48F47A2B}" destId="{8E66FDB7-6D7E-4ADB-AFEB-34DF6215D482}" srcOrd="0" destOrd="0" presId="urn:microsoft.com/office/officeart/2005/8/layout/cycle1"/>
    <dgm:cxn modelId="{B545B35D-8DCD-4FB6-8596-B39A8CF04C1E}" type="presOf" srcId="{EE1008D4-D873-4279-AEF9-372B74BE3591}" destId="{86ED58ED-D723-4ACC-B3D5-4145B40304DE}" srcOrd="0" destOrd="0" presId="urn:microsoft.com/office/officeart/2005/8/layout/cycle1"/>
    <dgm:cxn modelId="{DCA1BF19-4CC2-42BC-B6B3-D3E97A610F13}" type="presOf" srcId="{DA2BB247-C835-4ABE-AE93-EBF7CBE9EF08}" destId="{7236DF4D-516E-4C0A-8ACF-AA9B6D371491}" srcOrd="0" destOrd="0" presId="urn:microsoft.com/office/officeart/2005/8/layout/cycle1"/>
    <dgm:cxn modelId="{637ED795-CAAC-4691-92C8-D1C4AFB5151A}" srcId="{B65783BA-A753-4BCE-A721-97A4B305C3F1}" destId="{5B800750-18C8-46DA-8A82-BCF441A8DAF0}" srcOrd="1" destOrd="0" parTransId="{D9753E49-E33F-4E78-9D4D-E9B580032058}" sibTransId="{EE1008D4-D873-4279-AEF9-372B74BE3591}"/>
    <dgm:cxn modelId="{0C32451B-F7D1-4241-A551-B5C426F6C32F}" srcId="{B65783BA-A753-4BCE-A721-97A4B305C3F1}" destId="{DA2BB247-C835-4ABE-AE93-EBF7CBE9EF08}" srcOrd="0" destOrd="0" parTransId="{3EEE715E-CD84-46E9-8EB8-5819AB3F798A}" sibTransId="{6310CB5C-9D2F-493A-B551-40EE48F47A2B}"/>
    <dgm:cxn modelId="{9F7062B0-7B7F-4C49-A6B3-A2C1DF48324A}" type="presParOf" srcId="{E6FA065C-52AD-427E-A8E3-B785B680A0AA}" destId="{7D814974-5AAE-411E-9BE0-59AF2060B53B}" srcOrd="0" destOrd="0" presId="urn:microsoft.com/office/officeart/2005/8/layout/cycle1"/>
    <dgm:cxn modelId="{E9FE2F29-2F58-4429-AD96-720DD7268C39}" type="presParOf" srcId="{E6FA065C-52AD-427E-A8E3-B785B680A0AA}" destId="{7236DF4D-516E-4C0A-8ACF-AA9B6D371491}" srcOrd="1" destOrd="0" presId="urn:microsoft.com/office/officeart/2005/8/layout/cycle1"/>
    <dgm:cxn modelId="{B8044AE8-0EB5-47FE-8087-C88BF6B97291}" type="presParOf" srcId="{E6FA065C-52AD-427E-A8E3-B785B680A0AA}" destId="{8E66FDB7-6D7E-4ADB-AFEB-34DF6215D482}" srcOrd="2" destOrd="0" presId="urn:microsoft.com/office/officeart/2005/8/layout/cycle1"/>
    <dgm:cxn modelId="{4CA4FD0A-2F90-4847-85A7-B78262F31121}" type="presParOf" srcId="{E6FA065C-52AD-427E-A8E3-B785B680A0AA}" destId="{A81D6252-5DF2-4FCD-88CE-2700F761BD54}" srcOrd="3" destOrd="0" presId="urn:microsoft.com/office/officeart/2005/8/layout/cycle1"/>
    <dgm:cxn modelId="{E046F4AB-3511-4118-A350-81DB0A72F8A9}" type="presParOf" srcId="{E6FA065C-52AD-427E-A8E3-B785B680A0AA}" destId="{495AA78B-71FD-43E9-8E8B-8F1044D46A0C}" srcOrd="4" destOrd="0" presId="urn:microsoft.com/office/officeart/2005/8/layout/cycle1"/>
    <dgm:cxn modelId="{24D4618F-2436-44F5-B523-B7B15945F06E}" type="presParOf" srcId="{E6FA065C-52AD-427E-A8E3-B785B680A0AA}" destId="{86ED58ED-D723-4ACC-B3D5-4145B40304DE}" srcOrd="5" destOrd="0" presId="urn:microsoft.com/office/officeart/2005/8/layout/cycle1"/>
    <dgm:cxn modelId="{8AFF7E8F-D566-4F34-A63F-8BCC6110F952}" type="presParOf" srcId="{E6FA065C-52AD-427E-A8E3-B785B680A0AA}" destId="{A6ED2E2A-359F-4D80-B909-54D9DCF6C058}" srcOrd="6" destOrd="0" presId="urn:microsoft.com/office/officeart/2005/8/layout/cycle1"/>
    <dgm:cxn modelId="{9D94CAA2-8B61-44E9-B4C3-08F11144C3D7}" type="presParOf" srcId="{E6FA065C-52AD-427E-A8E3-B785B680A0AA}" destId="{1E363041-AB0F-4A26-BA3B-8F2B1B3BAF8B}" srcOrd="7" destOrd="0" presId="urn:microsoft.com/office/officeart/2005/8/layout/cycle1"/>
    <dgm:cxn modelId="{64ED1862-F625-4F99-8F5C-7B2A68D2DFBF}" type="presParOf" srcId="{E6FA065C-52AD-427E-A8E3-B785B680A0AA}" destId="{B14889B2-3087-49FE-884C-EDCD86E924D6}" srcOrd="8"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36DF4D-516E-4C0A-8ACF-AA9B6D371491}">
      <dsp:nvSpPr>
        <dsp:cNvPr id="0" name=""/>
        <dsp:cNvSpPr/>
      </dsp:nvSpPr>
      <dsp:spPr>
        <a:xfrm>
          <a:off x="2673310" y="258445"/>
          <a:ext cx="1314598" cy="1314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en-MY" sz="700" b="1" i="0" u="none" strike="noStrike" kern="1200" baseline="0" smtClean="0">
              <a:latin typeface="Calibri" panose="020F0502020204030204" pitchFamily="34" charset="0"/>
            </a:rPr>
            <a:t>Instrumental support</a:t>
          </a:r>
        </a:p>
        <a:p>
          <a:pPr marR="0" lvl="0" algn="l" defTabSz="311150" rtl="0">
            <a:lnSpc>
              <a:spcPct val="90000"/>
            </a:lnSpc>
            <a:spcBef>
              <a:spcPct val="0"/>
            </a:spcBef>
            <a:spcAft>
              <a:spcPct val="35000"/>
            </a:spcAft>
          </a:pPr>
          <a:r>
            <a:rPr lang="en-MY" sz="700" b="0" i="0" u="none" strike="noStrike" kern="1200" baseline="0" smtClean="0">
              <a:latin typeface="Calibri" panose="020F0502020204030204" pitchFamily="34" charset="0"/>
            </a:rPr>
            <a:t>Provision of material aid, money, goods, services (House 1981, Dunkel-Schetter 1984)</a:t>
          </a:r>
          <a:endParaRPr lang="en-MY" sz="700" kern="1200" smtClean="0"/>
        </a:p>
      </dsp:txBody>
      <dsp:txXfrm>
        <a:off x="2673310" y="258445"/>
        <a:ext cx="1314598" cy="1314598"/>
      </dsp:txXfrm>
    </dsp:sp>
    <dsp:sp modelId="{8E66FDB7-6D7E-4ADB-AFEB-34DF6215D482}">
      <dsp:nvSpPr>
        <dsp:cNvPr id="0" name=""/>
        <dsp:cNvSpPr/>
      </dsp:nvSpPr>
      <dsp:spPr>
        <a:xfrm>
          <a:off x="670729" y="-264"/>
          <a:ext cx="3108621" cy="3108621"/>
        </a:xfrm>
        <a:prstGeom prst="circularArrow">
          <a:avLst>
            <a:gd name="adj1" fmla="val 8246"/>
            <a:gd name="adj2" fmla="val 575935"/>
            <a:gd name="adj3" fmla="val 2964691"/>
            <a:gd name="adj4" fmla="val 51163"/>
            <a:gd name="adj5" fmla="val 962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95AA78B-71FD-43E9-8E8B-8F1044D46A0C}">
      <dsp:nvSpPr>
        <dsp:cNvPr id="0" name=""/>
        <dsp:cNvSpPr/>
      </dsp:nvSpPr>
      <dsp:spPr>
        <a:xfrm>
          <a:off x="1567740" y="2173347"/>
          <a:ext cx="1314598" cy="1314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ctr" defTabSz="311150" rtl="0">
            <a:lnSpc>
              <a:spcPct val="90000"/>
            </a:lnSpc>
            <a:spcBef>
              <a:spcPct val="0"/>
            </a:spcBef>
            <a:spcAft>
              <a:spcPct val="35000"/>
            </a:spcAft>
          </a:pPr>
          <a:r>
            <a:rPr lang="en-MY" sz="700" b="1" i="0" u="none" strike="noStrike" kern="1200" baseline="0" smtClean="0">
              <a:latin typeface="Calibri" panose="020F0502020204030204" pitchFamily="34" charset="0"/>
            </a:rPr>
            <a:t>Emotional support</a:t>
          </a:r>
        </a:p>
        <a:p>
          <a:pPr marR="0" lvl="0" algn="l" defTabSz="311150" rtl="0">
            <a:lnSpc>
              <a:spcPct val="90000"/>
            </a:lnSpc>
            <a:spcBef>
              <a:spcPct val="0"/>
            </a:spcBef>
            <a:spcAft>
              <a:spcPct val="35000"/>
            </a:spcAft>
          </a:pPr>
          <a:r>
            <a:rPr lang="en-MY" sz="700" b="0" i="0" u="none" strike="noStrike" kern="1200" baseline="0" smtClean="0">
              <a:latin typeface="Calibri" panose="020F0502020204030204" pitchFamily="34" charset="0"/>
            </a:rPr>
            <a:t>The expression of positive effect, including information that one is cared for, loved or esteemed (Cobb 1976, Gottlieb 1981). Expressing agreement with a acknowledging a person’s feelings (House 1981), and encouraging the open expression of beliefs and feelings (Cobb 1976, House 1981)</a:t>
          </a:r>
        </a:p>
      </dsp:txBody>
      <dsp:txXfrm>
        <a:off x="1567740" y="2173347"/>
        <a:ext cx="1314598" cy="1314598"/>
      </dsp:txXfrm>
    </dsp:sp>
    <dsp:sp modelId="{86ED58ED-D723-4ACC-B3D5-4145B40304DE}">
      <dsp:nvSpPr>
        <dsp:cNvPr id="0" name=""/>
        <dsp:cNvSpPr/>
      </dsp:nvSpPr>
      <dsp:spPr>
        <a:xfrm>
          <a:off x="670729" y="-264"/>
          <a:ext cx="3108621" cy="3108621"/>
        </a:xfrm>
        <a:prstGeom prst="circularArrow">
          <a:avLst>
            <a:gd name="adj1" fmla="val 8246"/>
            <a:gd name="adj2" fmla="val 575935"/>
            <a:gd name="adj3" fmla="val 10172902"/>
            <a:gd name="adj4" fmla="val 7259375"/>
            <a:gd name="adj5" fmla="val 962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363041-AB0F-4A26-BA3B-8F2B1B3BAF8B}">
      <dsp:nvSpPr>
        <dsp:cNvPr id="0" name=""/>
        <dsp:cNvSpPr/>
      </dsp:nvSpPr>
      <dsp:spPr>
        <a:xfrm>
          <a:off x="462171" y="258445"/>
          <a:ext cx="1314598" cy="1314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R="0" lvl="0" algn="l" defTabSz="311150" rtl="0">
            <a:lnSpc>
              <a:spcPct val="90000"/>
            </a:lnSpc>
            <a:spcBef>
              <a:spcPct val="0"/>
            </a:spcBef>
            <a:spcAft>
              <a:spcPct val="35000"/>
            </a:spcAft>
          </a:pPr>
          <a:r>
            <a:rPr lang="en-MY" sz="700" b="1" i="0" u="none" strike="noStrike" kern="1200" baseline="0" smtClean="0">
              <a:latin typeface="Calibri" panose="020F0502020204030204" pitchFamily="34" charset="0"/>
            </a:rPr>
            <a:t>Informational support</a:t>
          </a:r>
        </a:p>
        <a:p>
          <a:pPr marR="0" lvl="0" algn="l" defTabSz="311150" rtl="0">
            <a:lnSpc>
              <a:spcPct val="90000"/>
            </a:lnSpc>
            <a:spcBef>
              <a:spcPct val="0"/>
            </a:spcBef>
            <a:spcAft>
              <a:spcPct val="35000"/>
            </a:spcAft>
          </a:pPr>
          <a:r>
            <a:rPr lang="en-MY" sz="700" b="0" i="0" u="none" strike="noStrike" kern="1200" baseline="0" smtClean="0">
              <a:latin typeface="Calibri" panose="020F0502020204030204" pitchFamily="34" charset="0"/>
            </a:rPr>
            <a:t>Providing information, giving advice/guidance and problem solving skills (House 1981, Dunkel-Schetter 1984)</a:t>
          </a:r>
          <a:endParaRPr lang="en-MY" sz="700" kern="1200" smtClean="0"/>
        </a:p>
      </dsp:txBody>
      <dsp:txXfrm>
        <a:off x="462171" y="258445"/>
        <a:ext cx="1314598" cy="1314598"/>
      </dsp:txXfrm>
    </dsp:sp>
    <dsp:sp modelId="{B14889B2-3087-49FE-884C-EDCD86E924D6}">
      <dsp:nvSpPr>
        <dsp:cNvPr id="0" name=""/>
        <dsp:cNvSpPr/>
      </dsp:nvSpPr>
      <dsp:spPr>
        <a:xfrm>
          <a:off x="670729" y="-264"/>
          <a:ext cx="3108621" cy="3108621"/>
        </a:xfrm>
        <a:prstGeom prst="circularArrow">
          <a:avLst>
            <a:gd name="adj1" fmla="val 8246"/>
            <a:gd name="adj2" fmla="val 575935"/>
            <a:gd name="adj3" fmla="val 16857501"/>
            <a:gd name="adj4" fmla="val 14966565"/>
            <a:gd name="adj5" fmla="val 9621"/>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Internet Addiction among Secondary School Students</vt:lpstr>
    </vt:vector>
  </TitlesOfParts>
  <Company>Toshiba</Company>
  <LinksUpToDate>false</LinksUpToDate>
  <CharactersWithSpaces>3048</CharactersWithSpaces>
  <SharedDoc>false</SharedDoc>
  <HLinks>
    <vt:vector size="6" baseType="variant">
      <vt:variant>
        <vt:i4>2687083</vt:i4>
      </vt:variant>
      <vt:variant>
        <vt:i4>0</vt:i4>
      </vt:variant>
      <vt:variant>
        <vt:i4>0</vt:i4>
      </vt:variant>
      <vt:variant>
        <vt:i4>5</vt:i4>
      </vt:variant>
      <vt:variant>
        <vt:lpwstr>mailto:1afmy@upm.edu.my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Addiction among Secondary School Students</dc:title>
  <dc:subject/>
  <dc:creator>user</dc:creator>
  <cp:keywords/>
  <cp:lastModifiedBy>user</cp:lastModifiedBy>
  <cp:revision>5</cp:revision>
  <cp:lastPrinted>2013-11-13T06:23:00Z</cp:lastPrinted>
  <dcterms:created xsi:type="dcterms:W3CDTF">2017-03-31T08:51:00Z</dcterms:created>
  <dcterms:modified xsi:type="dcterms:W3CDTF">2017-05-09T04:10:00Z</dcterms:modified>
</cp:coreProperties>
</file>